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F98F60">
      <w:pPr>
        <w:widowControl w:val="0"/>
        <w:topLinePunct/>
        <w:autoSpaceDE w:val="0"/>
        <w:autoSpaceDN w:val="0"/>
        <w:spacing w:before="0" w:after="0" w:line="360" w:lineRule="auto"/>
        <w:jc w:val="center"/>
        <w:rPr>
          <w:rFonts w:hint="eastAsia" w:ascii="宋体" w:hAnsi="宋体" w:eastAsia="宋体" w:cs="宋体"/>
          <w:b/>
          <w:sz w:val="96"/>
          <w:szCs w:val="96"/>
          <w:lang w:eastAsia="zh-CN"/>
        </w:rPr>
      </w:pPr>
    </w:p>
    <w:p w14:paraId="7AB915F7">
      <w:pPr>
        <w:pStyle w:val="2"/>
        <w:keepNext w:val="0"/>
        <w:spacing w:before="0" w:after="0" w:line="360" w:lineRule="auto"/>
        <w:jc w:val="center"/>
        <w:rPr>
          <w:rFonts w:ascii="仿宋_GB2312" w:hAnsi="仿宋_GB2312" w:eastAsia="仿宋_GB2312" w:cs="仿宋_GB2312"/>
          <w:b/>
          <w:bCs/>
          <w:sz w:val="32"/>
          <w:szCs w:val="32"/>
        </w:rPr>
      </w:pPr>
      <w:bookmarkStart w:id="0" w:name="_Toc256000019"/>
      <w:r>
        <w:rPr>
          <w:rFonts w:ascii="仿宋_GB2312" w:hAnsi="仿宋_GB2312" w:eastAsia="仿宋_GB2312" w:cs="仿宋_GB2312"/>
          <w:kern w:val="36"/>
        </w:rPr>
        <w:t>3项目需求</w:t>
      </w:r>
      <w:bookmarkEnd w:id="0"/>
    </w:p>
    <w:p w14:paraId="1B7DDDA0">
      <w:pPr>
        <w:pStyle w:val="3"/>
        <w:keepNext w:val="0"/>
        <w:spacing w:before="0" w:after="0" w:line="360" w:lineRule="auto"/>
        <w:rPr>
          <w:rFonts w:ascii="仿宋_GB2312" w:hAnsi="仿宋_GB2312" w:eastAsia="仿宋_GB2312" w:cs="仿宋_GB2312"/>
          <w:b/>
          <w:bCs/>
          <w:sz w:val="28"/>
          <w:szCs w:val="28"/>
        </w:rPr>
      </w:pPr>
      <w:bookmarkStart w:id="1" w:name="_Toc256000020"/>
      <w:r>
        <w:rPr>
          <w:rFonts w:ascii="仿宋_GB2312" w:hAnsi="仿宋_GB2312" w:eastAsia="仿宋_GB2312" w:cs="仿宋_GB2312"/>
          <w:i w:val="0"/>
          <w:iCs w:val="0"/>
        </w:rPr>
        <w:t>3.1总体要求</w:t>
      </w:r>
      <w:bookmarkEnd w:id="1"/>
    </w:p>
    <w:p w14:paraId="0DD2EB56">
      <w:pPr>
        <w:pStyle w:val="12"/>
        <w:spacing w:before="0" w:after="0" w:line="360" w:lineRule="auto"/>
        <w:ind w:left="0" w:firstLine="640"/>
        <w:jc w:val="both"/>
        <w:rPr>
          <w:rFonts w:ascii="Times New Roman" w:hAnsi="Times New Roman" w:eastAsia="Times New Roman" w:cs="Times New Roman"/>
        </w:rPr>
      </w:pPr>
      <w:r>
        <w:rPr>
          <w:rFonts w:ascii="仿宋_GB2312" w:hAnsi="仿宋_GB2312" w:eastAsia="仿宋_GB2312" w:cs="仿宋_GB2312"/>
          <w:sz w:val="28"/>
          <w:szCs w:val="28"/>
        </w:rPr>
        <w:t>投标人应严格遵守《食品安全法》和《动物检疫法》等相关规定，严格保证食品质量符合国家相关产品质量标准，符合国家各级强制性规范的要求。在中标后如出现因食用其提供的食品导致食物中毒事故发生，投标人应对此承担一切法律责任。</w:t>
      </w:r>
    </w:p>
    <w:p w14:paraId="7ADA6056">
      <w:pPr>
        <w:pStyle w:val="3"/>
        <w:keepNext w:val="0"/>
        <w:spacing w:before="0" w:after="0" w:line="360" w:lineRule="auto"/>
        <w:rPr>
          <w:rFonts w:ascii="仿宋_GB2312" w:hAnsi="仿宋_GB2312" w:eastAsia="仿宋_GB2312" w:cs="仿宋_GB2312"/>
          <w:b/>
          <w:bCs/>
          <w:sz w:val="28"/>
          <w:szCs w:val="28"/>
        </w:rPr>
      </w:pPr>
      <w:bookmarkStart w:id="2" w:name="_Toc256000021"/>
      <w:r>
        <w:rPr>
          <w:rFonts w:ascii="仿宋_GB2312" w:hAnsi="仿宋_GB2312" w:eastAsia="仿宋_GB2312" w:cs="仿宋_GB2312"/>
          <w:i w:val="0"/>
          <w:iCs w:val="0"/>
        </w:rPr>
        <w:t>3.2采购产品一览表</w:t>
      </w:r>
      <w:bookmarkEnd w:id="2"/>
    </w:p>
    <w:tbl>
      <w:tblPr>
        <w:tblStyle w:val="9"/>
        <w:tblW w:w="5000" w:type="pct"/>
        <w:tblInd w:w="30" w:type="dxa"/>
        <w:tblLayout w:type="autofit"/>
        <w:tblCellMar>
          <w:top w:w="15" w:type="dxa"/>
          <w:left w:w="15" w:type="dxa"/>
          <w:bottom w:w="15" w:type="dxa"/>
          <w:right w:w="15" w:type="dxa"/>
        </w:tblCellMar>
      </w:tblPr>
      <w:tblGrid>
        <w:gridCol w:w="907"/>
        <w:gridCol w:w="1814"/>
        <w:gridCol w:w="1814"/>
        <w:gridCol w:w="1814"/>
        <w:gridCol w:w="1814"/>
        <w:gridCol w:w="907"/>
      </w:tblGrid>
      <w:tr w14:paraId="3B842275">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17FF1C2">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415560A">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产品类别</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ACBC38F">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产品名称</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511BDD1">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3E5F925">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单位</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C0E8CBC">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备注</w:t>
            </w:r>
          </w:p>
        </w:tc>
      </w:tr>
      <w:tr w14:paraId="47F00430">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66597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3E1083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猪肉、脏器及副产品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4331A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猪精瘦肉</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C98F8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3740.0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553B5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0C214">
            <w:pPr>
              <w:jc w:val="left"/>
              <w:rPr>
                <w:rFonts w:ascii="仿宋_GB2312" w:hAnsi="仿宋_GB2312" w:eastAsia="仿宋_GB2312" w:cs="仿宋_GB2312"/>
                <w:b w:val="0"/>
                <w:bCs w:val="0"/>
                <w:i w:val="0"/>
                <w:iCs w:val="0"/>
                <w:smallCaps w:val="0"/>
                <w:color w:val="000000"/>
                <w:sz w:val="21"/>
                <w:szCs w:val="21"/>
              </w:rPr>
            </w:pPr>
          </w:p>
        </w:tc>
      </w:tr>
      <w:tr w14:paraId="7F3FF111">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99003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DD2D9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猪肉、脏器及副产品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B2336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猪排骨</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26A77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8740.0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F5B31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33E41D">
            <w:pPr>
              <w:jc w:val="left"/>
              <w:rPr>
                <w:rFonts w:ascii="仿宋_GB2312" w:hAnsi="仿宋_GB2312" w:eastAsia="仿宋_GB2312" w:cs="仿宋_GB2312"/>
                <w:b w:val="0"/>
                <w:bCs w:val="0"/>
                <w:i w:val="0"/>
                <w:iCs w:val="0"/>
                <w:smallCaps w:val="0"/>
                <w:color w:val="000000"/>
                <w:sz w:val="21"/>
                <w:szCs w:val="21"/>
              </w:rPr>
            </w:pPr>
          </w:p>
        </w:tc>
      </w:tr>
      <w:tr w14:paraId="05C9459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935B70">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71739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猪肉、脏器及副产品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F7F1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猪鲜肉馅（3:7）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86FC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2800.0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A53981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6CD8B7">
            <w:pPr>
              <w:jc w:val="left"/>
              <w:rPr>
                <w:rFonts w:ascii="仿宋_GB2312" w:hAnsi="仿宋_GB2312" w:eastAsia="仿宋_GB2312" w:cs="仿宋_GB2312"/>
                <w:b w:val="0"/>
                <w:bCs w:val="0"/>
                <w:i w:val="0"/>
                <w:iCs w:val="0"/>
                <w:smallCaps w:val="0"/>
                <w:color w:val="000000"/>
                <w:sz w:val="21"/>
                <w:szCs w:val="21"/>
              </w:rPr>
            </w:pPr>
          </w:p>
        </w:tc>
      </w:tr>
      <w:tr w14:paraId="66497C72">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0F761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67B9A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猪肉、脏器及副产品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0C67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猪五花</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544F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13000.0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1560B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4E2B8">
            <w:pPr>
              <w:jc w:val="left"/>
              <w:rPr>
                <w:rFonts w:ascii="仿宋_GB2312" w:hAnsi="仿宋_GB2312" w:eastAsia="仿宋_GB2312" w:cs="仿宋_GB2312"/>
                <w:b w:val="0"/>
                <w:bCs w:val="0"/>
                <w:i w:val="0"/>
                <w:iCs w:val="0"/>
                <w:smallCaps w:val="0"/>
                <w:color w:val="000000"/>
                <w:sz w:val="21"/>
                <w:szCs w:val="21"/>
              </w:rPr>
            </w:pPr>
          </w:p>
        </w:tc>
      </w:tr>
      <w:tr w14:paraId="0E9997F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99777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0198F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32404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猪下水</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CC1A0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2750.0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71965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18142A">
            <w:pPr>
              <w:jc w:val="left"/>
              <w:rPr>
                <w:rFonts w:ascii="仿宋_GB2312" w:hAnsi="仿宋_GB2312" w:eastAsia="仿宋_GB2312" w:cs="仿宋_GB2312"/>
                <w:b w:val="0"/>
                <w:bCs w:val="0"/>
                <w:i w:val="0"/>
                <w:iCs w:val="0"/>
                <w:smallCaps w:val="0"/>
                <w:color w:val="000000"/>
                <w:sz w:val="21"/>
                <w:szCs w:val="21"/>
              </w:rPr>
            </w:pPr>
          </w:p>
        </w:tc>
      </w:tr>
      <w:tr w14:paraId="18CC6E4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1EBAA1">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A9870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1F9A1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猪头</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6A0A02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3320.0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89460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960650">
            <w:pPr>
              <w:jc w:val="left"/>
              <w:rPr>
                <w:rFonts w:ascii="仿宋_GB2312" w:hAnsi="仿宋_GB2312" w:eastAsia="仿宋_GB2312" w:cs="仿宋_GB2312"/>
                <w:b w:val="0"/>
                <w:bCs w:val="0"/>
                <w:i w:val="0"/>
                <w:iCs w:val="0"/>
                <w:smallCaps w:val="0"/>
                <w:color w:val="000000"/>
                <w:sz w:val="21"/>
                <w:szCs w:val="21"/>
              </w:rPr>
            </w:pPr>
          </w:p>
        </w:tc>
      </w:tr>
      <w:tr w14:paraId="41B0D6CE">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647C90">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31FAE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猪脏器及副产品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B77EC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猪蹄</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898668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2480.0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64BD7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4161C4">
            <w:pPr>
              <w:jc w:val="left"/>
              <w:rPr>
                <w:rFonts w:ascii="仿宋_GB2312" w:hAnsi="仿宋_GB2312" w:eastAsia="仿宋_GB2312" w:cs="仿宋_GB2312"/>
                <w:b w:val="0"/>
                <w:bCs w:val="0"/>
                <w:i w:val="0"/>
                <w:iCs w:val="0"/>
                <w:smallCaps w:val="0"/>
                <w:color w:val="000000"/>
                <w:sz w:val="21"/>
                <w:szCs w:val="21"/>
              </w:rPr>
            </w:pPr>
          </w:p>
        </w:tc>
      </w:tr>
      <w:tr w14:paraId="45A194C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0DEC57">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3EE3F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B2E40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牛肋条</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8B6F3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5710.0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B5D15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B460BCB">
            <w:pPr>
              <w:jc w:val="left"/>
              <w:rPr>
                <w:rFonts w:ascii="仿宋_GB2312" w:hAnsi="仿宋_GB2312" w:eastAsia="仿宋_GB2312" w:cs="仿宋_GB2312"/>
                <w:b w:val="0"/>
                <w:bCs w:val="0"/>
                <w:i w:val="0"/>
                <w:iCs w:val="0"/>
                <w:smallCaps w:val="0"/>
                <w:color w:val="000000"/>
                <w:sz w:val="21"/>
                <w:szCs w:val="21"/>
              </w:rPr>
            </w:pPr>
          </w:p>
        </w:tc>
      </w:tr>
      <w:tr w14:paraId="16EE282D">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52EB3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D9032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4A0FA7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牛腱子</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D5874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1980.0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B2D6F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780082">
            <w:pPr>
              <w:jc w:val="left"/>
              <w:rPr>
                <w:rFonts w:ascii="仿宋_GB2312" w:hAnsi="仿宋_GB2312" w:eastAsia="仿宋_GB2312" w:cs="仿宋_GB2312"/>
                <w:b w:val="0"/>
                <w:bCs w:val="0"/>
                <w:i w:val="0"/>
                <w:iCs w:val="0"/>
                <w:smallCaps w:val="0"/>
                <w:color w:val="000000"/>
                <w:sz w:val="21"/>
                <w:szCs w:val="21"/>
              </w:rPr>
            </w:pPr>
          </w:p>
        </w:tc>
      </w:tr>
      <w:tr w14:paraId="2E8283C1">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ADED6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37ABB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3FBC6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牛骨</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1608F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780.0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6253F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40B74C">
            <w:pPr>
              <w:jc w:val="left"/>
              <w:rPr>
                <w:rFonts w:ascii="仿宋_GB2312" w:hAnsi="仿宋_GB2312" w:eastAsia="仿宋_GB2312" w:cs="仿宋_GB2312"/>
                <w:b w:val="0"/>
                <w:bCs w:val="0"/>
                <w:i w:val="0"/>
                <w:iCs w:val="0"/>
                <w:smallCaps w:val="0"/>
                <w:color w:val="000000"/>
                <w:sz w:val="21"/>
                <w:szCs w:val="21"/>
              </w:rPr>
            </w:pPr>
          </w:p>
        </w:tc>
      </w:tr>
      <w:tr w14:paraId="6373275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26B24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C2389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34369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牛腩</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D8C2B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2840.0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62638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983F8F">
            <w:pPr>
              <w:jc w:val="left"/>
              <w:rPr>
                <w:rFonts w:ascii="仿宋_GB2312" w:hAnsi="仿宋_GB2312" w:eastAsia="仿宋_GB2312" w:cs="仿宋_GB2312"/>
                <w:b w:val="0"/>
                <w:bCs w:val="0"/>
                <w:i w:val="0"/>
                <w:iCs w:val="0"/>
                <w:smallCaps w:val="0"/>
                <w:color w:val="000000"/>
                <w:sz w:val="21"/>
                <w:szCs w:val="21"/>
              </w:rPr>
            </w:pPr>
          </w:p>
        </w:tc>
      </w:tr>
      <w:tr w14:paraId="52973D1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4FEED">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1299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1BF49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7FA1B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3120.0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8BF6E3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239EBD2">
            <w:pPr>
              <w:jc w:val="left"/>
              <w:rPr>
                <w:rFonts w:ascii="仿宋_GB2312" w:hAnsi="仿宋_GB2312" w:eastAsia="仿宋_GB2312" w:cs="仿宋_GB2312"/>
                <w:b w:val="0"/>
                <w:bCs w:val="0"/>
                <w:i w:val="0"/>
                <w:iCs w:val="0"/>
                <w:smallCaps w:val="0"/>
                <w:color w:val="000000"/>
                <w:sz w:val="21"/>
                <w:szCs w:val="21"/>
              </w:rPr>
            </w:pPr>
          </w:p>
        </w:tc>
      </w:tr>
      <w:tr w14:paraId="7DC62A1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AB6DBE">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505052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4010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羊肋排</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79408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1500.0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EF536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36A6D8">
            <w:pPr>
              <w:jc w:val="left"/>
              <w:rPr>
                <w:rFonts w:ascii="仿宋_GB2312" w:hAnsi="仿宋_GB2312" w:eastAsia="仿宋_GB2312" w:cs="仿宋_GB2312"/>
                <w:b w:val="0"/>
                <w:bCs w:val="0"/>
                <w:i w:val="0"/>
                <w:iCs w:val="0"/>
                <w:smallCaps w:val="0"/>
                <w:color w:val="000000"/>
                <w:sz w:val="21"/>
                <w:szCs w:val="21"/>
              </w:rPr>
            </w:pPr>
          </w:p>
        </w:tc>
      </w:tr>
      <w:tr w14:paraId="3B2F4550">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0AE5B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E150C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73B9F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羊肉卷</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45DCF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1920.0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543CF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BD452B">
            <w:pPr>
              <w:jc w:val="left"/>
              <w:rPr>
                <w:rFonts w:ascii="仿宋_GB2312" w:hAnsi="仿宋_GB2312" w:eastAsia="仿宋_GB2312" w:cs="仿宋_GB2312"/>
                <w:b w:val="0"/>
                <w:bCs w:val="0"/>
                <w:i w:val="0"/>
                <w:iCs w:val="0"/>
                <w:smallCaps w:val="0"/>
                <w:color w:val="000000"/>
                <w:sz w:val="21"/>
                <w:szCs w:val="21"/>
              </w:rPr>
            </w:pPr>
          </w:p>
        </w:tc>
      </w:tr>
      <w:tr w14:paraId="622FFACB">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67DAC">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2E758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1D0F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羊蝎子</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44C7A6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780.0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46E9F9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4B909B">
            <w:pPr>
              <w:jc w:val="left"/>
              <w:rPr>
                <w:rFonts w:ascii="仿宋_GB2312" w:hAnsi="仿宋_GB2312" w:eastAsia="仿宋_GB2312" w:cs="仿宋_GB2312"/>
                <w:b w:val="0"/>
                <w:bCs w:val="0"/>
                <w:i w:val="0"/>
                <w:iCs w:val="0"/>
                <w:smallCaps w:val="0"/>
                <w:color w:val="000000"/>
                <w:sz w:val="21"/>
                <w:szCs w:val="21"/>
              </w:rPr>
            </w:pPr>
          </w:p>
        </w:tc>
      </w:tr>
      <w:tr w14:paraId="59F3AE1D">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FE42E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B7BD2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B9EBA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鸡肉</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88D94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1500.0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E4CB7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BE52A0">
            <w:pPr>
              <w:jc w:val="left"/>
              <w:rPr>
                <w:rFonts w:ascii="仿宋_GB2312" w:hAnsi="仿宋_GB2312" w:eastAsia="仿宋_GB2312" w:cs="仿宋_GB2312"/>
                <w:b w:val="0"/>
                <w:bCs w:val="0"/>
                <w:i w:val="0"/>
                <w:iCs w:val="0"/>
                <w:smallCaps w:val="0"/>
                <w:color w:val="000000"/>
                <w:sz w:val="21"/>
                <w:szCs w:val="21"/>
              </w:rPr>
            </w:pPr>
          </w:p>
        </w:tc>
      </w:tr>
      <w:tr w14:paraId="5171E20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8FC48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10F7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406C0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鸡胗</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77DA3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460.0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978DF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EF572D">
            <w:pPr>
              <w:jc w:val="left"/>
              <w:rPr>
                <w:rFonts w:ascii="仿宋_GB2312" w:hAnsi="仿宋_GB2312" w:eastAsia="仿宋_GB2312" w:cs="仿宋_GB2312"/>
                <w:b w:val="0"/>
                <w:bCs w:val="0"/>
                <w:i w:val="0"/>
                <w:iCs w:val="0"/>
                <w:smallCaps w:val="0"/>
                <w:color w:val="000000"/>
                <w:sz w:val="21"/>
                <w:szCs w:val="21"/>
              </w:rPr>
            </w:pPr>
          </w:p>
        </w:tc>
      </w:tr>
      <w:tr w14:paraId="1C3E0DF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0699E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D2EAE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5039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鸡翅</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DF79F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F7D0D9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59C8C4">
            <w:pPr>
              <w:jc w:val="left"/>
              <w:rPr>
                <w:rFonts w:ascii="仿宋_GB2312" w:hAnsi="仿宋_GB2312" w:eastAsia="仿宋_GB2312" w:cs="仿宋_GB2312"/>
                <w:b w:val="0"/>
                <w:bCs w:val="0"/>
                <w:i w:val="0"/>
                <w:iCs w:val="0"/>
                <w:smallCaps w:val="0"/>
                <w:color w:val="000000"/>
                <w:sz w:val="21"/>
                <w:szCs w:val="21"/>
              </w:rPr>
            </w:pPr>
          </w:p>
        </w:tc>
      </w:tr>
      <w:tr w14:paraId="233B20B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6C4181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D6E3A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F0E1C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鸡腿</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FB15A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3200.0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14F76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ADF269">
            <w:pPr>
              <w:jc w:val="left"/>
              <w:rPr>
                <w:rFonts w:ascii="仿宋_GB2312" w:hAnsi="仿宋_GB2312" w:eastAsia="仿宋_GB2312" w:cs="仿宋_GB2312"/>
                <w:b w:val="0"/>
                <w:bCs w:val="0"/>
                <w:i w:val="0"/>
                <w:iCs w:val="0"/>
                <w:smallCaps w:val="0"/>
                <w:color w:val="000000"/>
                <w:sz w:val="21"/>
                <w:szCs w:val="21"/>
              </w:rPr>
            </w:pPr>
          </w:p>
        </w:tc>
      </w:tr>
      <w:tr w14:paraId="094AA0A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960BCC">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31265A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禽肉及各部件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505C3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整鸭</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D40F3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1600.0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98EE8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AF13802">
            <w:pPr>
              <w:jc w:val="left"/>
              <w:rPr>
                <w:rFonts w:ascii="仿宋_GB2312" w:hAnsi="仿宋_GB2312" w:eastAsia="仿宋_GB2312" w:cs="仿宋_GB2312"/>
                <w:b w:val="0"/>
                <w:bCs w:val="0"/>
                <w:i w:val="0"/>
                <w:iCs w:val="0"/>
                <w:smallCaps w:val="0"/>
                <w:color w:val="000000"/>
                <w:sz w:val="21"/>
                <w:szCs w:val="21"/>
              </w:rPr>
            </w:pPr>
          </w:p>
        </w:tc>
      </w:tr>
      <w:tr w14:paraId="2D5C2522">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D2B8E3">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BD412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7EA042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香肠</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137B5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2100.0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1B981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5D4571A">
            <w:pPr>
              <w:jc w:val="left"/>
              <w:rPr>
                <w:rFonts w:ascii="仿宋_GB2312" w:hAnsi="仿宋_GB2312" w:eastAsia="仿宋_GB2312" w:cs="仿宋_GB2312"/>
                <w:b w:val="0"/>
                <w:bCs w:val="0"/>
                <w:i w:val="0"/>
                <w:iCs w:val="0"/>
                <w:smallCaps w:val="0"/>
                <w:color w:val="000000"/>
                <w:sz w:val="21"/>
                <w:szCs w:val="21"/>
              </w:rPr>
            </w:pPr>
          </w:p>
        </w:tc>
      </w:tr>
      <w:tr w14:paraId="3BC3809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A06A2B">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D7840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BF9BF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火腿</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02AAE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3700.0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4D43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9689B5">
            <w:pPr>
              <w:jc w:val="left"/>
              <w:rPr>
                <w:rFonts w:ascii="仿宋_GB2312" w:hAnsi="仿宋_GB2312" w:eastAsia="仿宋_GB2312" w:cs="仿宋_GB2312"/>
                <w:b w:val="0"/>
                <w:bCs w:val="0"/>
                <w:i w:val="0"/>
                <w:iCs w:val="0"/>
                <w:smallCaps w:val="0"/>
                <w:color w:val="000000"/>
                <w:sz w:val="21"/>
                <w:szCs w:val="21"/>
              </w:rPr>
            </w:pPr>
          </w:p>
        </w:tc>
      </w:tr>
      <w:tr w14:paraId="5594AAE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132B7C">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159E6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49A6D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腌制鸡肉串</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9FB0A0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8800.0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11C17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B15E51">
            <w:pPr>
              <w:jc w:val="left"/>
              <w:rPr>
                <w:rFonts w:ascii="仿宋_GB2312" w:hAnsi="仿宋_GB2312" w:eastAsia="仿宋_GB2312" w:cs="仿宋_GB2312"/>
                <w:b w:val="0"/>
                <w:bCs w:val="0"/>
                <w:i w:val="0"/>
                <w:iCs w:val="0"/>
                <w:smallCaps w:val="0"/>
                <w:color w:val="000000"/>
                <w:sz w:val="21"/>
                <w:szCs w:val="21"/>
              </w:rPr>
            </w:pPr>
          </w:p>
        </w:tc>
      </w:tr>
      <w:tr w14:paraId="3725C9C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712C0F">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0635E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153087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鸭血</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D8929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320.0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C075C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3BA3D9">
            <w:pPr>
              <w:jc w:val="left"/>
              <w:rPr>
                <w:rFonts w:ascii="仿宋_GB2312" w:hAnsi="仿宋_GB2312" w:eastAsia="仿宋_GB2312" w:cs="仿宋_GB2312"/>
                <w:b w:val="0"/>
                <w:bCs w:val="0"/>
                <w:i w:val="0"/>
                <w:iCs w:val="0"/>
                <w:smallCaps w:val="0"/>
                <w:color w:val="000000"/>
                <w:sz w:val="21"/>
                <w:szCs w:val="21"/>
              </w:rPr>
            </w:pPr>
          </w:p>
        </w:tc>
      </w:tr>
      <w:tr w14:paraId="18004E43">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87C92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DAD652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91214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721E6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1300.0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AF104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6E3F19">
            <w:pPr>
              <w:jc w:val="left"/>
              <w:rPr>
                <w:rFonts w:ascii="仿宋_GB2312" w:hAnsi="仿宋_GB2312" w:eastAsia="仿宋_GB2312" w:cs="仿宋_GB2312"/>
                <w:b w:val="0"/>
                <w:bCs w:val="0"/>
                <w:i w:val="0"/>
                <w:iCs w:val="0"/>
                <w:smallCaps w:val="0"/>
                <w:color w:val="000000"/>
                <w:sz w:val="21"/>
                <w:szCs w:val="21"/>
              </w:rPr>
            </w:pPr>
          </w:p>
        </w:tc>
      </w:tr>
      <w:tr w14:paraId="3BCBAF8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AFBEC7">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36750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4DADA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6C9B7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960.0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840F9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C6E078">
            <w:pPr>
              <w:jc w:val="left"/>
              <w:rPr>
                <w:rFonts w:ascii="仿宋_GB2312" w:hAnsi="仿宋_GB2312" w:eastAsia="仿宋_GB2312" w:cs="仿宋_GB2312"/>
                <w:b w:val="0"/>
                <w:bCs w:val="0"/>
                <w:i w:val="0"/>
                <w:iCs w:val="0"/>
                <w:smallCaps w:val="0"/>
                <w:color w:val="000000"/>
                <w:sz w:val="21"/>
                <w:szCs w:val="21"/>
              </w:rPr>
            </w:pPr>
          </w:p>
        </w:tc>
      </w:tr>
      <w:tr w14:paraId="6B1FC715">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5AEBB71">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2B28D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AB4D2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羊肉串</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EE951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750.0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C206A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E4AF10">
            <w:pPr>
              <w:jc w:val="left"/>
              <w:rPr>
                <w:rFonts w:ascii="仿宋_GB2312" w:hAnsi="仿宋_GB2312" w:eastAsia="仿宋_GB2312" w:cs="仿宋_GB2312"/>
                <w:b w:val="0"/>
                <w:bCs w:val="0"/>
                <w:i w:val="0"/>
                <w:iCs w:val="0"/>
                <w:smallCaps w:val="0"/>
                <w:color w:val="000000"/>
                <w:sz w:val="21"/>
                <w:szCs w:val="21"/>
              </w:rPr>
            </w:pPr>
          </w:p>
        </w:tc>
      </w:tr>
      <w:tr w14:paraId="671A5855">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99E413B">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942EB1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9481D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鸭肉半成品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57D494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1920.0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B50AFC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65F602">
            <w:pPr>
              <w:jc w:val="left"/>
              <w:rPr>
                <w:rFonts w:ascii="仿宋_GB2312" w:hAnsi="仿宋_GB2312" w:eastAsia="仿宋_GB2312" w:cs="仿宋_GB2312"/>
                <w:b w:val="0"/>
                <w:bCs w:val="0"/>
                <w:i w:val="0"/>
                <w:iCs w:val="0"/>
                <w:smallCaps w:val="0"/>
                <w:color w:val="000000"/>
                <w:sz w:val="21"/>
                <w:szCs w:val="21"/>
              </w:rPr>
            </w:pPr>
          </w:p>
        </w:tc>
      </w:tr>
      <w:tr w14:paraId="4639F58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E843A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626FE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肉制品/半成品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E2A4E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火锅丸子</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79C9C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343.0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5A73F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斤</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866565">
            <w:pPr>
              <w:jc w:val="left"/>
              <w:rPr>
                <w:rFonts w:ascii="仿宋_GB2312" w:hAnsi="仿宋_GB2312" w:eastAsia="仿宋_GB2312" w:cs="仿宋_GB2312"/>
                <w:b w:val="0"/>
                <w:bCs w:val="0"/>
                <w:i w:val="0"/>
                <w:iCs w:val="0"/>
                <w:smallCaps w:val="0"/>
                <w:color w:val="000000"/>
                <w:sz w:val="21"/>
                <w:szCs w:val="21"/>
              </w:rPr>
            </w:pPr>
          </w:p>
        </w:tc>
      </w:tr>
    </w:tbl>
    <w:p w14:paraId="4F68DBF0">
      <w:pPr>
        <w:pStyle w:val="3"/>
        <w:keepNext w:val="0"/>
        <w:spacing w:before="0" w:after="0" w:line="360" w:lineRule="auto"/>
        <w:rPr>
          <w:rFonts w:ascii="仿宋_GB2312" w:hAnsi="仿宋_GB2312" w:eastAsia="仿宋_GB2312" w:cs="仿宋_GB2312"/>
          <w:b/>
          <w:bCs/>
          <w:sz w:val="28"/>
          <w:szCs w:val="28"/>
        </w:rPr>
      </w:pPr>
      <w:bookmarkStart w:id="3" w:name="_Toc256000022"/>
      <w:r>
        <w:rPr>
          <w:rFonts w:ascii="仿宋_GB2312" w:hAnsi="仿宋_GB2312" w:eastAsia="仿宋_GB2312" w:cs="仿宋_GB2312"/>
          <w:i w:val="0"/>
          <w:iCs w:val="0"/>
        </w:rPr>
        <w:t>3.3采购产品详细清单及技术指标</w:t>
      </w:r>
      <w:bookmarkEnd w:id="3"/>
    </w:p>
    <w:p w14:paraId="7361FFDB">
      <w:pPr>
        <w:spacing w:before="0" w:after="0" w:line="360" w:lineRule="auto"/>
        <w:ind w:firstLine="561"/>
        <w:rPr>
          <w:rFonts w:ascii="仿宋_GB2312" w:hAnsi="仿宋_GB2312" w:eastAsia="仿宋_GB2312" w:cs="仿宋_GB2312"/>
          <w:sz w:val="28"/>
          <w:szCs w:val="28"/>
        </w:rPr>
      </w:pPr>
      <w:r>
        <w:rPr>
          <w:rFonts w:ascii="仿宋_GB2312" w:hAnsi="仿宋_GB2312" w:eastAsia="仿宋_GB2312" w:cs="仿宋_GB2312"/>
          <w:sz w:val="28"/>
          <w:szCs w:val="28"/>
        </w:rPr>
        <w:t>采购文件（技术部分）中有标注★号的，为必备服务要求，必须满足，如未作出响应，将导致响应无效；#为重要服务内容、△为一般服务内容。</w:t>
      </w:r>
    </w:p>
    <w:tbl>
      <w:tblPr>
        <w:tblStyle w:val="9"/>
        <w:tblW w:w="5000" w:type="pct"/>
        <w:tblInd w:w="30" w:type="dxa"/>
        <w:tblLayout w:type="autofit"/>
        <w:tblCellMar>
          <w:top w:w="15" w:type="dxa"/>
          <w:left w:w="15" w:type="dxa"/>
          <w:bottom w:w="15" w:type="dxa"/>
          <w:right w:w="15" w:type="dxa"/>
        </w:tblCellMar>
      </w:tblPr>
      <w:tblGrid>
        <w:gridCol w:w="907"/>
        <w:gridCol w:w="1814"/>
        <w:gridCol w:w="1814"/>
        <w:gridCol w:w="1814"/>
        <w:gridCol w:w="1814"/>
        <w:gridCol w:w="907"/>
      </w:tblGrid>
      <w:tr w14:paraId="3F63E629">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CDB8959">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7044C5B">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指标种类</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B80B9A6">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指标名称</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8C07E73">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指标内容</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E0723B3">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重要性</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7F7BC2B3">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是否需要证明材料</w:t>
            </w:r>
          </w:p>
        </w:tc>
      </w:tr>
      <w:tr w14:paraId="4CEAC5B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7EF2E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F64245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D4C2F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AA55B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（1）肉类的理化指标及卫生标准符合国家或采购人所在地区最新标准执行。</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8A2E8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BF54A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255756D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6780E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958562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8F11B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791F1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（2）对于没有国家标准的应符合行业标准或企业标准，其中国家有强制性技术标准要求的产品，还应符合国家强制性技术标准，确保配送的货物安全、卫生。</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980AA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085B2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595D7940">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A7580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C8673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E1E3C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3A6527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（3）肉类供应商供应的动物类食品必须经过检验检疫，供货时一并提交出厂合格证复印件，必要时应按采购人要求提供生产厂家的卫生许可证。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E202A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8A110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12B7891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3D57E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BC71C3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69B76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2051F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（4）所供生鲜肉确保为出厂后48小时内；冻肉确保为出厂后3个月内。</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6622F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45733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608720BD">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A1096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D0B59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9BA7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总体质量要求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53258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（5）保证所供肉类渠道来源正规可溯，参考正规市场品质及来源。</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75260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8BC2B2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3AC2C81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7FAB5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B4703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B832E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通用质量要求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7EEDD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淤血，无注水，无寄生虫。</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534DA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1E34B1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76811B61">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74758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3610B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8AB4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通用质量要求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256E2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（2）冻品外包装需密封、完整，无破损，商品合格证齐全。冻品在解冻后，发现质量问题承诺退货。</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2DC83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0E2680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6C1F7B9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7A637C">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F3152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E8B606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鲜猪肉通用质量要求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016F1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猪主要部位肉符合GB/T 9959.1和GB/T9959.3等规定。包括去骨前腿肉、去骨后腿肉、带骨方肉和去骨方肉，均要求一级。肌肉颜色为鲜红色，脂肪颜色为白色。肥膘厚度1.0～2.5cm，质地呈现肉色红、光亮、致密，没有霜降或异味。</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66BDA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1BE2A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5F656B90">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094498E">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CC76C2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C8138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五花肉质量要求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66BFB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一级五花肉，肥膘厚度≤2.0cm，肥瘦相间，肉质细腻，三层见花。</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DE3A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6915FF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4F1BE1D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6C04F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F1733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6E4D6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肋排质量要求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6AEFD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肋排去剔前排后11-13根肋骨，整块重量1.2KG-1.8KG，纹理清晰，边缘整齐。</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71E9B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1768E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018BAF0C">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C7772E">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C1CAD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E0280C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猪脏器及副产品质量要求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DD655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心肝、腰子类：品质新鲜、外形完整、无异味、无病变、无凝血块、无血污、泥污、颜色正常。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肚：品质新鲜、外形完整、无溃疡面及其他病变现象、无内容物、无粘膜、无边油。</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大肠、肥肠类：品质新鲜、无破损、无病变组织、无肠头细毛、无内容物、去净粘膜。</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舌：品质新鲜、外形完整、无病变、无异物、无舌苔、附肉少、无血污、泥污。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耳：品质新鲜、外形完整、无溃烂、病斑、无破损。</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蹄爪类：品质新鲜、去蹄壳、不带蹄筋、刮除粗毛、细毛及趾间黑垢、无松香残留。</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蹄筋类：品质新鲜、无色透明、表面光亮、无油脂、无精肉、无充血现象、顺直、干燥。</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猪心：淡红色，脂肪乳白色稍红色，结实，有弹性，外形完整，心房内无瘀血，无凝血块，无病变，气味正常。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猪肝：红褐色或棕黄色，有光泽，湿润，略有弹性，组织结实微密，肝叶完整，无脂肪，胆囊、粗输、胆管、无寄生虫、炎症水泡、薄膜，无胆汁污染，微有鱼腥味。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猪口条：品质新鲜，外形完整，无根附着的肌肉、舌骨、舌苔、脂肪、无病伤，无异物。</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猪尾：品质新鲜，去毛洁净，不带毛根或绒毛。</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4DD7F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62D6E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2966EE9E">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925479">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5CD56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1B4B5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鲜牛肉通用质量要求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399EC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精修牛肉，颜色呈正常鲜红状，脂肪微黄，表面有光泽有正常油脂分泌，触摸略感粘稠，按压有弹性，无发酸发臭气味，无腐坏变色现象，挤压无水溢出。</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3902A1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4EC8CD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009F33DA">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2AE7D9A">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777667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E06843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牛腩质量要求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DA11A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精修牛腩肉，牛腹部及靠近牛肋处的松软肌肉，带有筋、肉、油花的肉块。</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DED6AC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642D4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432DF91D">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CE6EA6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F7C31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E1E23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鲜羊肉质量要求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8CA34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精修羊肉，肌肉红色均匀，有光泽，脂肪洁白。外表微干或有风干膜，触摸不粘手。弹性好，指压后凹陷立即恢复。具有鲜羊肉正常气味，无泥污，血污，肉边整齐，无碎肉，碎骨，按标准部位分割，无多余脂肪及血管。</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C2AFF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BC180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74B52D8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C5570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B909D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AAD6A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冻畜肉质量要求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1436A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色泽：颜色比冷却肉鲜明，在表面切开处为浅玫瑰色至灰色，用手或热刀触之，立显示鲜红色。脂肪猪、羊为白色，牛为淡黄色。肌腱为白色，石灰色。</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外表：无杂质，无肌肉风干现象，无白、黄、绿斑、紫斑、污血、过多冰衣无白霜、</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气味：化冻时，有肉的正常味，略潮，没有熟肉味。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包装：按标准部位分割外包装无破损有生产日期。</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2A9B4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3E3DB9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0A8A470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A96624B">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791D1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132A14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鲜鸡（鸭、鹅）类质量要求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E685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眼球：无干缩凹陷或晶体状浑浊现象。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外表：具有其固有表皮颜色、肌肉切面有光泽、无绿、紫等异常颜色、无残羽（在脖、翅等处无较长细毛）、无破损、无残缺、新切面不发粘。</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气味：具有其固有气味、无异味。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弹性：指压后凹陷、能恢复。</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6BF5FB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CD186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52208F6E">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84EDF6">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BE1FB7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6FFC5B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鲜鸡类各部件质量要求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5C08E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鸡爪：品质新鲜、呈白色或灰白色、无黄皮趾壳、无血污、血水、无残缺、脚趾根上无黑斑、允许有少量红斑。</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鸡翅：品质新鲜、无残羽、无黄衣、无伤斑及溃烂、无血水血污、允许有少数斑、允许剪修但最大范围不超转弯关节处。</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鸡腿：无残羽、无血水、血污、品质新鲜、无残骨无伤斑及溃烂、炎症、允许有少数红斑、外形美观。</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鸡胸肉：品质新鲜、无残羽、无血水、血污、无残骨、无伤斑、溃烂、炎症，允许有少数红斑。</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鸡肝：品质新鲜、外形完整、去胆、无寄生虫、炎症、水泡，无胆汁污染无血渍。</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鸡胗：品质新鲜、外形完整无内容物、鸡内金、腺胃、肠管及脂肪，无出血、瘀血、病变。</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鸡心：品质新鲜、褐红色，脂肪稍红，组织结实，有弹性，心房内无瘀血、病变，气味正常。</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鸡脖：品质新鲜、去劲部皮、无羽毛、无血污。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鸡头：品质新鲜、外形完整、无伤斑、无溃烂、无血污。</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蹄筋：品质新鲜，无色透明，表面光亮，无油脂，无精肉，无充血现顺直、干燥。</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342E1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AC4C4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6E2CD6A5">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87CE5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01923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560E6C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禽肉(冻)</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04461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色泽：外观滋润，呈乳白或微黄色。</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外表：基本无血脉、风干现象，无白、黄绿、紫斑、无冰衣，解冻后与鲜禽特征相同。</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气味：无腐臭气味</w:t>
            </w:r>
            <w:r>
              <w:rPr>
                <w:rFonts w:ascii="仿宋_GB2312" w:hAnsi="仿宋_GB2312" w:eastAsia="仿宋_GB2312" w:cs="仿宋_GB2312"/>
                <w:b w:val="0"/>
                <w:bCs w:val="0"/>
                <w:i w:val="0"/>
                <w:iCs w:val="0"/>
                <w:smallCaps w:val="0"/>
                <w:color w:val="000000"/>
                <w:sz w:val="21"/>
                <w:szCs w:val="21"/>
              </w:rPr>
              <w:br w:type="textWrapping"/>
            </w:r>
            <w:r>
              <w:rPr>
                <w:rFonts w:ascii="仿宋_GB2312" w:hAnsi="仿宋_GB2312" w:eastAsia="仿宋_GB2312" w:cs="仿宋_GB2312"/>
                <w:b w:val="0"/>
                <w:bCs w:val="0"/>
                <w:i w:val="0"/>
                <w:iCs w:val="0"/>
                <w:smallCaps w:val="0"/>
                <w:color w:val="000000"/>
                <w:sz w:val="21"/>
                <w:szCs w:val="21"/>
              </w:rPr>
              <w:t>包装：分割部件应符合标准，外包装完好、商标规格、产品说明清晰完整。</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25892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546BC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3FA31F48">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D2841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D60750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7042B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其他食材质量标准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F51E7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以上未详细列明的商品须符合国家食品安全卫生相关质量标准。</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163A79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11EA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391C0AA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BD09140">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6EA67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技术指标</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C0C2AA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特殊准入认证要求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794815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对实行食品质量（SC）安全市场准入制的食品，须在验收时提供 SC 认证的相关证明资料。</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FA91F1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39CDB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bl>
    <w:p w14:paraId="6C734376">
      <w:pPr>
        <w:pStyle w:val="3"/>
        <w:keepNext w:val="0"/>
        <w:spacing w:before="0" w:after="0" w:line="360" w:lineRule="auto"/>
        <w:rPr>
          <w:rFonts w:ascii="仿宋_GB2312" w:hAnsi="仿宋_GB2312" w:eastAsia="仿宋_GB2312" w:cs="仿宋_GB2312"/>
          <w:b/>
          <w:bCs/>
          <w:sz w:val="28"/>
          <w:szCs w:val="28"/>
        </w:rPr>
      </w:pPr>
      <w:bookmarkStart w:id="4" w:name="_Toc256000023"/>
      <w:r>
        <w:rPr>
          <w:rFonts w:ascii="仿宋_GB2312" w:hAnsi="仿宋_GB2312" w:eastAsia="仿宋_GB2312" w:cs="仿宋_GB2312"/>
          <w:i w:val="0"/>
          <w:iCs w:val="0"/>
        </w:rPr>
        <w:t>3.4服务要求</w:t>
      </w:r>
      <w:bookmarkEnd w:id="4"/>
    </w:p>
    <w:tbl>
      <w:tblPr>
        <w:tblStyle w:val="9"/>
        <w:tblW w:w="5000" w:type="pct"/>
        <w:tblInd w:w="30" w:type="dxa"/>
        <w:tblLayout w:type="autofit"/>
        <w:tblCellMar>
          <w:top w:w="15" w:type="dxa"/>
          <w:left w:w="15" w:type="dxa"/>
          <w:bottom w:w="15" w:type="dxa"/>
          <w:right w:w="15" w:type="dxa"/>
        </w:tblCellMar>
      </w:tblPr>
      <w:tblGrid>
        <w:gridCol w:w="907"/>
        <w:gridCol w:w="1814"/>
        <w:gridCol w:w="1814"/>
        <w:gridCol w:w="1814"/>
        <w:gridCol w:w="1814"/>
        <w:gridCol w:w="907"/>
      </w:tblGrid>
      <w:tr w14:paraId="2B88B5DF">
        <w:tblPrEx>
          <w:tblCellMar>
            <w:top w:w="15" w:type="dxa"/>
            <w:left w:w="15" w:type="dxa"/>
            <w:bottom w:w="15" w:type="dxa"/>
            <w:right w:w="15"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2F7EF5A6">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序号</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61E4EFD7">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指标种类</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0B637FC6">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指标名称</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374F7079">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指标内容</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53CA0602">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重要性</w:t>
            </w:r>
          </w:p>
        </w:tc>
        <w:tc>
          <w:tcPr>
            <w:tcW w:w="1000" w:type="pct"/>
            <w:tcBorders>
              <w:top w:val="single" w:color="000000" w:sz="6" w:space="0"/>
              <w:left w:val="single" w:color="000000" w:sz="6" w:space="0"/>
              <w:bottom w:val="single" w:color="000000" w:sz="6" w:space="0"/>
              <w:right w:val="single" w:color="000000" w:sz="6" w:space="0"/>
            </w:tcBorders>
            <w:shd w:val="clear" w:color="auto" w:fill="D3D3D3"/>
            <w:noWrap w:val="0"/>
            <w:tcMar>
              <w:top w:w="22" w:type="dxa"/>
              <w:left w:w="22" w:type="dxa"/>
              <w:bottom w:w="22" w:type="dxa"/>
              <w:right w:w="22" w:type="dxa"/>
            </w:tcMar>
            <w:vAlign w:val="center"/>
          </w:tcPr>
          <w:p w14:paraId="168C6842">
            <w:pPr>
              <w:jc w:val="center"/>
              <w:rPr>
                <w:rFonts w:ascii="仿宋_GB2312" w:hAnsi="仿宋_GB2312" w:eastAsia="仿宋_GB2312" w:cs="仿宋_GB2312"/>
                <w:b/>
                <w:bCs/>
                <w:i w:val="0"/>
                <w:iCs w:val="0"/>
                <w:smallCaps w:val="0"/>
                <w:color w:val="000000"/>
                <w:sz w:val="21"/>
                <w:szCs w:val="21"/>
              </w:rPr>
            </w:pPr>
            <w:r>
              <w:rPr>
                <w:rFonts w:ascii="仿宋_GB2312" w:hAnsi="仿宋_GB2312" w:eastAsia="仿宋_GB2312" w:cs="仿宋_GB2312"/>
                <w:b/>
                <w:bCs/>
                <w:i w:val="0"/>
                <w:iCs w:val="0"/>
                <w:smallCaps w:val="0"/>
                <w:color w:val="000000"/>
                <w:sz w:val="21"/>
                <w:szCs w:val="21"/>
              </w:rPr>
              <w:t>是否需要证明材料</w:t>
            </w:r>
          </w:p>
        </w:tc>
      </w:tr>
      <w:tr w14:paraId="6F78868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3FD1CC3">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014EC6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硬件设施要求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FCC56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仓储设施要求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B23074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投标人自有或租赁冷库，吨位不小于200吨。能够满足按采购人需求完成配送任务，确保三个办公区同时送货。</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292B0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69F8DC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65C7E23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D966A4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80EF3C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硬件设施要求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82FF13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物流设施要求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A080DB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投标人自有或租赁配送中心，面积不小于500平米。能够满足按采购人需求完成配送任务，确保三个办公区同时送货。</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3DA303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1725E2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096B0CB5">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504BAD">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C756B2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硬件设施要求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2CBD64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配送车辆要求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9DCC13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投标人应自有或固定租赁2台以上冷藏车辆，确保24小时响应，按采购人需求完成配送任务，确保三个办公区同时送货。</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E8D1F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E71811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0A4B2132">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44C811">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5670DD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F86444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猪肉供应链能力要求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52E9FF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具有自有、签约的猪肉屠宰、加工厂或者直销、代理、经销商资格之一。</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D924E7">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2FAA8B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6146E3D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B683822">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5</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C08E0F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60701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牛肉供应链能力要求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7F4C68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具有自有、签约的牛肉屠宰、加工厂或者直销、代理、经销商资格之一。</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80E04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F0074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56E747B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8E3A6D5">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6</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3C791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6417C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羊肉供应链能力要求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262EC2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具有自有、签约的羊肉屠宰、加工厂或者直销、代理、经销商资格之一。</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B4CEA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C4A83E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08130EC6">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97A3E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7</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5B5BA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D8E288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禽肉供应链能力要求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F6DA5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具有自有、签约的禽肉屠宰、加工厂或者直销、代理、经销商资格之一。</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45D5AE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A4B257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6D8F6FB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124874D">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8</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EEDE3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2B7A42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96C613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2022年 1月1日以来具有鲜冻禽畜肉类食材（含本包拟配送食材）的进货内容。</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F2E945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1BB17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3B7B58A9">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0E66C93">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9</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608ED1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FF799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简易加工能力要求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258106F">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能够完成本合同采购鲜冻禽畜肉的简易加工，如切丝、丁、块、片等。</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DA8C1A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5B5E3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03173157">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ED3EEF8">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10</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EDFF02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D3ABA2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运输卫生要求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4F161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整个运输过程应采用符合卫生要求的外包装和运载工具，对运输工具做到每日清洗消毒，车厢内无不良气味、异味，确保运输过程安全卫生。冷冻制品、冷冻家禽、鲜猪肉、等冷链食品必须使用符合规范标准的冷藏车进行运输。</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3580C7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03C4A9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7AEA11D4">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081ADA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11</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B98A4D">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956F78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运输工具管理要求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79D7B64">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投标人运输工具进入采购人管理范围，必须接受采购人统一管理，发生任何人员与设施损伤，均由投标人承担责任。</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AF57ECA">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113F36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6041DAEB">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41DBD00">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12</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144D4AE">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CA0598C">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安全完整包装要求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E415E5B">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包装产品交付时，必须保证原包装完好无损，不得使用有色、有毒塑料制品包装食材，否则采购人有权拒收。</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70EC858">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25C6B1">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否</w:t>
            </w:r>
          </w:p>
        </w:tc>
      </w:tr>
      <w:tr w14:paraId="04234F9F">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3098C8F4">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13</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7A26E8C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4FD6E5F5">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一般配送要求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6ABD0F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采购人按期（日）向投标人发布采购内容，投标人应在送货前一个工作日与采购人核对确认采购内容无误后，在次日6点前配送至采购人指定验收地点。</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AFB1E42">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462EBB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r w14:paraId="18236903">
        <w:tblPrEx>
          <w:tblCellMar>
            <w:top w:w="15" w:type="dxa"/>
            <w:left w:w="15" w:type="dxa"/>
            <w:bottom w:w="15" w:type="dxa"/>
            <w:right w:w="15" w:type="dxa"/>
          </w:tblCellMar>
        </w:tblPrEx>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1574F15C">
            <w:pPr>
              <w:jc w:val="center"/>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14</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2D89501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综合供应能力要求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452F2E0">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应急配送要求</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094847A9">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投标人应能按采购人要求及时补货，具备应急采购、储备、运输等能力，通讯工具24小时保持畅通，全天候备勤。在收到采购人布置的临时需求后 1 个小时内响应，2 个小时内完成配送。</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58A05053">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w:t>
            </w:r>
          </w:p>
        </w:tc>
        <w:tc>
          <w:tcPr>
            <w:tcBorders>
              <w:top w:val="single" w:color="000000" w:sz="6" w:space="0"/>
              <w:left w:val="single" w:color="000000" w:sz="6" w:space="0"/>
              <w:bottom w:val="single" w:color="000000" w:sz="6" w:space="0"/>
              <w:right w:val="single" w:color="000000" w:sz="6" w:space="0"/>
            </w:tcBorders>
            <w:noWrap w:val="0"/>
            <w:tcMar>
              <w:top w:w="22" w:type="dxa"/>
              <w:left w:w="22" w:type="dxa"/>
              <w:bottom w:w="22" w:type="dxa"/>
              <w:right w:w="22" w:type="dxa"/>
            </w:tcMar>
            <w:vAlign w:val="center"/>
          </w:tcPr>
          <w:p w14:paraId="6B4DDF16">
            <w:pPr>
              <w:jc w:val="left"/>
              <w:rPr>
                <w:rFonts w:ascii="仿宋_GB2312" w:hAnsi="仿宋_GB2312" w:eastAsia="仿宋_GB2312" w:cs="仿宋_GB2312"/>
                <w:b w:val="0"/>
                <w:bCs w:val="0"/>
                <w:i w:val="0"/>
                <w:iCs w:val="0"/>
                <w:smallCaps w:val="0"/>
                <w:color w:val="000000"/>
                <w:sz w:val="21"/>
                <w:szCs w:val="21"/>
              </w:rPr>
            </w:pPr>
            <w:r>
              <w:rPr>
                <w:rFonts w:ascii="仿宋_GB2312" w:hAnsi="仿宋_GB2312" w:eastAsia="仿宋_GB2312" w:cs="仿宋_GB2312"/>
                <w:b w:val="0"/>
                <w:bCs w:val="0"/>
                <w:i w:val="0"/>
                <w:iCs w:val="0"/>
                <w:smallCaps w:val="0"/>
                <w:color w:val="000000"/>
                <w:sz w:val="21"/>
                <w:szCs w:val="21"/>
              </w:rPr>
              <w:t>是</w:t>
            </w:r>
          </w:p>
        </w:tc>
      </w:tr>
    </w:tbl>
    <w:p w14:paraId="5B8983E9">
      <w:pPr>
        <w:spacing w:before="0" w:after="0" w:line="360" w:lineRule="auto"/>
        <w:ind w:firstLine="561"/>
        <w:rPr>
          <w:rFonts w:ascii="仿宋_GB2312" w:hAnsi="仿宋_GB2312" w:eastAsia="仿宋_GB2312" w:cs="仿宋_GB2312"/>
          <w:sz w:val="28"/>
          <w:szCs w:val="28"/>
        </w:rPr>
      </w:pPr>
      <w:bookmarkStart w:id="5" w:name="_GoBack"/>
      <w:bookmarkEnd w:id="5"/>
    </w:p>
    <w:sectPr>
      <w:footerReference r:id="rId3" w:type="default"/>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1028">
    <w:pPr>
      <w:spacing w:before="0" w:after="0" w:line="360" w:lineRule="auto"/>
      <w:jc w:val="center"/>
    </w:pPr>
    <w:r>
      <w:fldChar w:fldCharType="begin"/>
    </w:r>
    <w:r>
      <w:instrText xml:space="preserve"> PAGE </w:instrText>
    </w:r>
    <w:r>
      <w:fldChar w:fldCharType="separate"/>
    </w:r>
    <w:r>
      <w:t>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21AF23A3"/>
    <w:rsid w:val="36015455"/>
    <w:rsid w:val="57E26A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6">
    <w:name w:val="toc 3"/>
    <w:basedOn w:val="1"/>
    <w:next w:val="1"/>
    <w:autoRedefine/>
    <w:uiPriority w:val="0"/>
    <w:pPr>
      <w:ind w:left="480"/>
    </w:pPr>
  </w:style>
  <w:style w:type="paragraph" w:styleId="7">
    <w:name w:val="toc 1"/>
    <w:basedOn w:val="1"/>
    <w:next w:val="1"/>
    <w:autoRedefine/>
    <w:uiPriority w:val="0"/>
  </w:style>
  <w:style w:type="paragraph" w:styleId="8">
    <w:name w:val="toc 2"/>
    <w:basedOn w:val="1"/>
    <w:next w:val="1"/>
    <w:autoRedefine/>
    <w:uiPriority w:val="0"/>
    <w:pPr>
      <w:ind w:left="240"/>
    </w:pPr>
  </w:style>
  <w:style w:type="character" w:styleId="11">
    <w:name w:val="Hyperlink"/>
    <w:basedOn w:val="10"/>
    <w:uiPriority w:val="0"/>
    <w:rPr>
      <w:color w:val="0000FF"/>
      <w:u w:val="single"/>
    </w:rPr>
  </w:style>
  <w:style w:type="paragraph" w:customStyle="1" w:styleId="12">
    <w:name w:val="16"/>
    <w:basedOn w:val="1"/>
    <w:uiPriority w:val="0"/>
  </w:style>
  <w:style w:type="paragraph" w:customStyle="1" w:styleId="13">
    <w:name w:val="MsoNormal"/>
    <w:basedOn w:val="1"/>
    <w:uiPriority w:val="0"/>
  </w:style>
  <w:style w:type="paragraph" w:customStyle="1" w:styleId="14">
    <w:name w:val="18"/>
    <w:basedOn w:val="1"/>
    <w:uiPriority w:val="0"/>
  </w:style>
  <w:style w:type="paragraph" w:customStyle="1" w:styleId="15">
    <w:name w:val="15"/>
    <w:basedOn w:val="1"/>
    <w:uiPriority w:val="0"/>
  </w:style>
  <w:style w:type="paragraph" w:customStyle="1" w:styleId="16">
    <w:name w:val="17"/>
    <w:basedOn w:val="1"/>
    <w:uiPriority w:val="0"/>
  </w:style>
  <w:style w:type="paragraph" w:customStyle="1" w:styleId="17">
    <w:name w:val="19"/>
    <w:basedOn w:val="1"/>
    <w:uiPriority w:val="0"/>
  </w:style>
  <w:style w:type="paragraph" w:customStyle="1" w:styleId="18">
    <w:name w:val="20"/>
    <w:basedOn w:val="1"/>
    <w:uiPriority w:val="0"/>
  </w:style>
  <w:style w:type="paragraph" w:customStyle="1" w:styleId="19">
    <w:name w:val="29"/>
    <w:basedOn w:val="1"/>
    <w:uiPriority w:val="0"/>
  </w:style>
  <w:style w:type="paragraph" w:customStyle="1" w:styleId="20">
    <w:name w:val="21"/>
    <w:basedOn w:val="1"/>
    <w:uiPriority w:val="0"/>
  </w:style>
  <w:style w:type="paragraph" w:customStyle="1" w:styleId="21">
    <w:name w:val="28"/>
    <w:basedOn w:val="1"/>
    <w:uiPriority w:val="0"/>
  </w:style>
  <w:style w:type="paragraph" w:customStyle="1" w:styleId="22">
    <w:name w:val="30"/>
    <w:basedOn w:val="1"/>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10</Pages>
  <Words>1891</Words>
  <Characters>2304</Characters>
  <Lines>1</Lines>
  <Paragraphs>1</Paragraphs>
  <TotalTime>2</TotalTime>
  <ScaleCrop>false</ScaleCrop>
  <LinksUpToDate>false</LinksUpToDate>
  <CharactersWithSpaces>2355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2025-04-01T02:07:36Z</dcterms:created>
  <dc:creator>Administrator</dc:creator>
  <cp:lastModifiedBy>Lin</cp:lastModifiedBy>
  <dcterms:modified xsi:type="dcterms:W3CDTF">2025-04-01T02:10:40Z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eyJoZGlkIjoiNzJiNWQ2NDYxNjMyZjMyNjg5NzU4Mzk3MzM0YTk1ODQiLCJ1c2VySWQiOiI2NzI5MTcyNDcifQ==</vt:lpwstr>
  </property>
  <property fmtid="{D5CDD505-2E9C-101B-9397-08002B2CF9AE}" pid="3" name="KSOProductBuildVer">
    <vt:lpwstr>2052-12.1.0.20305</vt:lpwstr>
  </property>
  <property fmtid="{D5CDD505-2E9C-101B-9397-08002B2CF9AE}" pid="4" name="ICV">
    <vt:lpwstr>54782991A001476CBA41C3F9BAEFE9D8_12</vt:lpwstr>
  </property>
</Properties>
</file>